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4BBB" w14:textId="77777777" w:rsidR="006719F3" w:rsidRDefault="006719F3" w:rsidP="006719F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</w:pPr>
      <w:r>
        <w:rPr>
          <w:rFonts w:ascii="Times New Roman" w:hAnsi="Times New Roman" w:cs="Times New Roman"/>
          <w:i/>
          <w:sz w:val="20"/>
          <w:szCs w:val="20"/>
          <w:lang w:val="az-Latn-AZ"/>
        </w:rPr>
        <w:t xml:space="preserve">                                                                                       </w:t>
      </w:r>
      <w:r w:rsidRPr="000C0A33">
        <w:rPr>
          <w:rFonts w:ascii="Times New Roman" w:hAnsi="Times New Roman" w:cs="Times New Roman"/>
          <w:i/>
          <w:sz w:val="16"/>
          <w:szCs w:val="20"/>
          <w:lang w:val="az-Latn-AZ"/>
        </w:rPr>
        <w:t>“</w:t>
      </w:r>
      <w:r w:rsidRPr="000C0A33"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  <w:t>Bakı Fond Birjasında qiymətli kağızların listinqə daxil olunması,</w:t>
      </w:r>
    </w:p>
    <w:p w14:paraId="1F1A2332" w14:textId="77777777" w:rsidR="006719F3" w:rsidRPr="000C0A33" w:rsidRDefault="006719F3" w:rsidP="006719F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</w:pPr>
      <w:r w:rsidRPr="000C0A33"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  <w:t xml:space="preserve"> listinqdə saxlanması, delistinqi və ticarətinin təşkili</w:t>
      </w:r>
    </w:p>
    <w:p w14:paraId="48C4FBF9" w14:textId="77777777" w:rsidR="006719F3" w:rsidRPr="000C0A33" w:rsidRDefault="006719F3" w:rsidP="006719F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</w:pPr>
      <w:r w:rsidRPr="000C0A33"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  <w:t>qaydaları” Forma №</w:t>
      </w:r>
      <w:r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  <w:t>3</w:t>
      </w:r>
    </w:p>
    <w:p w14:paraId="48034BE2" w14:textId="77777777" w:rsidR="006719F3" w:rsidRPr="0076713C" w:rsidRDefault="006719F3" w:rsidP="006719F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sz w:val="20"/>
          <w:szCs w:val="20"/>
          <w:lang w:val="az-Latn-AZ" w:bidi="th-TH"/>
        </w:rPr>
      </w:pPr>
    </w:p>
    <w:p w14:paraId="4183016E" w14:textId="77777777" w:rsidR="006719F3" w:rsidRDefault="006719F3" w:rsidP="00671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>Tarix:</w:t>
      </w:r>
    </w:p>
    <w:p w14:paraId="59DABB1E" w14:textId="77777777" w:rsidR="006719F3" w:rsidRPr="0076713C" w:rsidRDefault="006719F3" w:rsidP="00671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74945CA" w14:textId="77777777" w:rsidR="006719F3" w:rsidRDefault="006719F3" w:rsidP="006719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>Bakı Fond Birjası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nda </w:t>
      </w:r>
    </w:p>
    <w:p w14:paraId="110732B3" w14:textId="77777777" w:rsidR="006719F3" w:rsidRPr="0076713C" w:rsidRDefault="006719F3" w:rsidP="006719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qiymətli kağızların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qeyri-listinq siyahısına daxil edilməsi</w:t>
      </w: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üçün</w:t>
      </w:r>
    </w:p>
    <w:p w14:paraId="5C30A81C" w14:textId="77777777" w:rsidR="006719F3" w:rsidRDefault="006719F3" w:rsidP="006719F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RİZƏ</w:t>
      </w:r>
      <w:r w:rsidRPr="0076713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-Anket</w:t>
      </w:r>
      <w:r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 (Forma №3</w:t>
      </w:r>
      <w:r w:rsidRPr="00FC458D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)</w:t>
      </w:r>
    </w:p>
    <w:p w14:paraId="20CF0B68" w14:textId="77777777" w:rsidR="006719F3" w:rsidRPr="0076713C" w:rsidRDefault="006719F3" w:rsidP="006719F3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216"/>
        <w:gridCol w:w="1916"/>
        <w:gridCol w:w="1872"/>
        <w:gridCol w:w="1646"/>
      </w:tblGrid>
      <w:tr w:rsidR="006719F3" w:rsidRPr="0076713C" w14:paraId="7D5A15AF" w14:textId="77777777" w:rsidTr="001F437C">
        <w:trPr>
          <w:cantSplit/>
          <w:trHeight w:val="1134"/>
        </w:trPr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5F69" w14:textId="77777777" w:rsidR="006719F3" w:rsidRPr="002D6C08" w:rsidRDefault="006719F3" w:rsidP="001F437C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2D6C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Ümumi </w:t>
            </w:r>
            <w:r w:rsidRPr="007671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məlumat</w:t>
            </w:r>
          </w:p>
        </w:tc>
      </w:tr>
      <w:tr w:rsidR="006719F3" w:rsidRPr="0076713C" w14:paraId="77974391" w14:textId="77777777" w:rsidTr="001F437C">
        <w:trPr>
          <w:cantSplit/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2EA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  <w:p w14:paraId="61EE03B1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8F58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kağızın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növü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7FB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Pr="00955BB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övlət qeydiyyat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ömrəsi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46D4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Ticarətə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buraxılma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əti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CD" w14:textId="77777777" w:rsidR="006719F3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Ticarətə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başlanılma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tarixi</w:t>
            </w:r>
            <w:proofErr w:type="spellEnd"/>
          </w:p>
        </w:tc>
      </w:tr>
      <w:tr w:rsidR="006719F3" w:rsidRPr="0076713C" w14:paraId="51A97F32" w14:textId="77777777" w:rsidTr="001F437C">
        <w:trPr>
          <w:cantSplit/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88D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8AE7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3CE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A8C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A61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719F3" w:rsidRPr="0076713C" w14:paraId="4CD1167E" w14:textId="77777777" w:rsidTr="001F437C">
        <w:trPr>
          <w:cantSplit/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7C20" w14:textId="77777777" w:rsidR="006719F3" w:rsidRPr="0076713C" w:rsidRDefault="006719F3" w:rsidP="001F437C">
            <w:pPr>
              <w:tabs>
                <w:tab w:val="left" w:pos="45"/>
              </w:tabs>
              <w:autoSpaceDE w:val="0"/>
              <w:autoSpaceDN w:val="0"/>
              <w:adjustRightInd w:val="0"/>
              <w:spacing w:after="0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C518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217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D9B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9E3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719F3" w:rsidRPr="0076713C" w14:paraId="61988086" w14:textId="77777777" w:rsidTr="001F437C">
        <w:trPr>
          <w:cantSplit/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F20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FD0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973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747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B38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719F3" w:rsidRPr="0076713C" w14:paraId="17AE7D3D" w14:textId="77777777" w:rsidTr="001F437C">
        <w:trPr>
          <w:cantSplit/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82D4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BE68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8E2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C6B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84D" w14:textId="77777777" w:rsidR="006719F3" w:rsidRPr="0076713C" w:rsidRDefault="006719F3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14:paraId="1C0749C8" w14:textId="77777777" w:rsidR="006719F3" w:rsidRPr="0076713C" w:rsidRDefault="006719F3" w:rsidP="006719F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az-Latn-AZ" w:bidi="th-TH"/>
        </w:rPr>
      </w:pPr>
    </w:p>
    <w:p w14:paraId="5EA62F1B" w14:textId="77777777" w:rsidR="006719F3" w:rsidRDefault="006719F3" w:rsidP="006719F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86A1A84" w14:textId="77777777" w:rsidR="006719F3" w:rsidRPr="00955BBD" w:rsidRDefault="006719F3" w:rsidP="006719F3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az-Latn-AZ" w:bidi="th-TH"/>
        </w:rPr>
      </w:pP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>Qeyd</w:t>
      </w:r>
      <w:r>
        <w:rPr>
          <w:rFonts w:ascii="Times New Roman" w:hAnsi="Times New Roman" w:cs="Times New Roman"/>
          <w:i/>
          <w:sz w:val="24"/>
          <w:szCs w:val="24"/>
          <w:lang w:val="az-Latn-AZ" w:bidi="th-TH"/>
        </w:rPr>
        <w:t xml:space="preserve">:  </w:t>
      </w: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 xml:space="preserve">Bu anket birja üzvünün səlahiyyətli şəxsi tərəfindən doldurulur və təsdiq edilir. Birja üzvünün səlahiyyətli şəxsi anketdə verilmiş məlumatların düzgünlüyünə </w:t>
      </w:r>
      <w:r w:rsidRPr="00E52544">
        <w:rPr>
          <w:rFonts w:ascii="Times New Roman" w:hAnsi="Times New Roman" w:cs="Times New Roman"/>
          <w:i/>
          <w:sz w:val="24"/>
          <w:szCs w:val="24"/>
          <w:lang w:val="az-Latn-AZ" w:bidi="th-TH"/>
        </w:rPr>
        <w:t xml:space="preserve">və </w:t>
      </w: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>“Bakı Fond Birjasında qiymətli kağızların listinqə daxil olunması, listinqdə saxlanması, delistinqi və ticarətinin təşkili Qaydaları”nın 14.</w:t>
      </w:r>
      <w:r>
        <w:rPr>
          <w:rFonts w:ascii="Times New Roman" w:hAnsi="Times New Roman" w:cs="Times New Roman"/>
          <w:i/>
          <w:sz w:val="24"/>
          <w:szCs w:val="24"/>
          <w:lang w:val="az-Latn-AZ" w:bidi="th-TH"/>
        </w:rPr>
        <w:t>7</w:t>
      </w: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>-c</w:t>
      </w:r>
      <w:r>
        <w:rPr>
          <w:rFonts w:ascii="Times New Roman" w:hAnsi="Times New Roman" w:cs="Times New Roman"/>
          <w:i/>
          <w:sz w:val="24"/>
          <w:szCs w:val="24"/>
          <w:lang w:val="az-Latn-AZ" w:bidi="th-TH"/>
        </w:rPr>
        <w:t>i</w:t>
      </w: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 xml:space="preserve"> bəndin</w:t>
      </w:r>
      <w:r>
        <w:rPr>
          <w:rFonts w:ascii="Times New Roman" w:hAnsi="Times New Roman" w:cs="Times New Roman"/>
          <w:i/>
          <w:sz w:val="24"/>
          <w:szCs w:val="24"/>
          <w:lang w:val="az-Latn-AZ" w:bidi="th-TH"/>
        </w:rPr>
        <w:t>in</w:t>
      </w: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 xml:space="preserve"> tələblərinin pozulmasına</w:t>
      </w:r>
      <w:r>
        <w:rPr>
          <w:rFonts w:ascii="Times New Roman" w:hAnsi="Times New Roman" w:cs="Times New Roman"/>
          <w:i/>
          <w:sz w:val="24"/>
          <w:szCs w:val="24"/>
          <w:lang w:val="az-Latn-AZ" w:bidi="th-TH"/>
        </w:rPr>
        <w:t xml:space="preserve"> görə</w:t>
      </w: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 xml:space="preserve"> məhsuliyyət daşıyır</w:t>
      </w:r>
      <w:r>
        <w:rPr>
          <w:rFonts w:ascii="Times New Roman" w:hAnsi="Times New Roman" w:cs="Times New Roman"/>
          <w:iCs/>
          <w:sz w:val="24"/>
          <w:szCs w:val="24"/>
          <w:lang w:val="az-Latn-AZ" w:bidi="th-TH"/>
        </w:rPr>
        <w:t>.</w:t>
      </w:r>
    </w:p>
    <w:p w14:paraId="09880F86" w14:textId="77777777" w:rsidR="006719F3" w:rsidRPr="0076713C" w:rsidRDefault="006719F3" w:rsidP="006719F3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</w:p>
    <w:p w14:paraId="43C84BCA" w14:textId="77777777" w:rsidR="006719F3" w:rsidRPr="0076713C" w:rsidRDefault="006719F3" w:rsidP="006719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Səlahiyyətli şəxsin A.A.S.:___________________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</w:t>
      </w:r>
    </w:p>
    <w:p w14:paraId="7610627D" w14:textId="77777777" w:rsidR="006719F3" w:rsidRPr="0076713C" w:rsidRDefault="006719F3" w:rsidP="006719F3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Səlahiyyətli şəxsin vəzifəsi</w:t>
      </w:r>
      <w:r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Pr="0076713C">
        <w:rPr>
          <w:rFonts w:ascii="Times New Roman" w:hAnsi="Times New Roman" w:cs="Times New Roman"/>
          <w:sz w:val="24"/>
          <w:szCs w:val="24"/>
          <w:lang w:val="az-Latn-AZ"/>
        </w:rPr>
        <w:t>__________________________</w:t>
      </w:r>
    </w:p>
    <w:p w14:paraId="6D9F5B01" w14:textId="77777777" w:rsidR="006719F3" w:rsidRPr="0076713C" w:rsidRDefault="006719F3" w:rsidP="006719F3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</w:p>
    <w:p w14:paraId="15733079" w14:textId="77777777" w:rsidR="006719F3" w:rsidRPr="0076713C" w:rsidRDefault="006719F3" w:rsidP="006719F3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İmza:</w:t>
      </w:r>
    </w:p>
    <w:p w14:paraId="15F220D6" w14:textId="206F3ABD" w:rsidR="0007465C" w:rsidRPr="006719F3" w:rsidRDefault="006719F3" w:rsidP="006719F3">
      <w:pPr>
        <w:spacing w:after="0"/>
        <w:ind w:left="5760" w:firstLine="720"/>
        <w:rPr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M.Y.</w:t>
      </w:r>
    </w:p>
    <w:sectPr w:rsidR="0007465C" w:rsidRPr="0067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25"/>
    <w:rsid w:val="0007465C"/>
    <w:rsid w:val="006719F3"/>
    <w:rsid w:val="00E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B3B8"/>
  <w15:chartTrackingRefBased/>
  <w15:docId w15:val="{D2D9F859-23EF-4CC5-85A7-317D0F2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F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Museyyib Mehdiyev</dc:creator>
  <cp:keywords/>
  <dc:description/>
  <cp:lastModifiedBy>Museyyib Mehdiyev</cp:lastModifiedBy>
  <cp:revision>2</cp:revision>
  <dcterms:created xsi:type="dcterms:W3CDTF">2020-04-29T10:30:00Z</dcterms:created>
  <dcterms:modified xsi:type="dcterms:W3CDTF">2020-04-29T10:31:00Z</dcterms:modified>
</cp:coreProperties>
</file>